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6EA67" w14:textId="77777777" w:rsidR="00C50283" w:rsidRDefault="002F1A4A">
      <w:pPr>
        <w:pStyle w:val="BodyText"/>
        <w:ind w:left="110"/>
        <w:rPr>
          <w:rFonts w:ascii="Times New Roman"/>
          <w:sz w:val="20"/>
        </w:rPr>
      </w:pPr>
      <w:r>
        <w:rPr>
          <w:rFonts w:ascii="Times New Roman"/>
          <w:noProof/>
          <w:sz w:val="20"/>
        </w:rPr>
        <w:drawing>
          <wp:inline distT="0" distB="0" distL="0" distR="0" wp14:anchorId="265A3C04" wp14:editId="6EBD334D">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24600" cy="1009650"/>
                    </a:xfrm>
                    <a:prstGeom prst="rect">
                      <a:avLst/>
                    </a:prstGeom>
                  </pic:spPr>
                </pic:pic>
              </a:graphicData>
            </a:graphic>
          </wp:inline>
        </w:drawing>
      </w:r>
    </w:p>
    <w:p w14:paraId="72EB5CDD" w14:textId="77777777" w:rsidR="00C50283" w:rsidRDefault="00C50283">
      <w:pPr>
        <w:pStyle w:val="BodyText"/>
        <w:spacing w:before="4"/>
        <w:rPr>
          <w:rFonts w:ascii="Times New Roman"/>
          <w:sz w:val="22"/>
        </w:rPr>
      </w:pPr>
    </w:p>
    <w:p w14:paraId="4A567668" w14:textId="77777777" w:rsidR="00C50283" w:rsidRDefault="002F1A4A">
      <w:pPr>
        <w:spacing w:before="94" w:line="312" w:lineRule="auto"/>
        <w:ind w:left="110" w:right="1212"/>
        <w:rPr>
          <w:b/>
          <w:sz w:val="34"/>
        </w:rPr>
      </w:pPr>
      <w:r>
        <w:rPr>
          <w:b/>
          <w:sz w:val="34"/>
        </w:rPr>
        <w:t>Part 1, Section V: USSGL Crosswalks to Standard External Reports</w:t>
      </w:r>
    </w:p>
    <w:p w14:paraId="720951D0" w14:textId="77777777" w:rsidR="00C50283" w:rsidRDefault="002F1A4A">
      <w:pPr>
        <w:pStyle w:val="BodyText"/>
        <w:spacing w:before="279" w:line="312" w:lineRule="auto"/>
        <w:ind w:left="110" w:right="1212"/>
      </w:pPr>
      <w:r>
        <w:rPr>
          <w:w w:val="105"/>
        </w:rPr>
        <w:t>This section includes crosswalks for use in Fiscal Year 2020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14:paraId="6A949730" w14:textId="77777777" w:rsidR="00C50283" w:rsidRDefault="00C50283">
      <w:pPr>
        <w:pStyle w:val="BodyText"/>
        <w:spacing w:before="5"/>
        <w:rPr>
          <w:sz w:val="26"/>
        </w:rPr>
      </w:pPr>
    </w:p>
    <w:p w14:paraId="61790BBD" w14:textId="77777777" w:rsidR="00C50283" w:rsidRDefault="002F1A4A">
      <w:pPr>
        <w:pStyle w:val="BodyText"/>
        <w:spacing w:line="312" w:lineRule="auto"/>
        <w:ind w:left="110" w:right="935"/>
      </w:pP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14:paraId="7BC442CC" w14:textId="77777777" w:rsidR="00C50283" w:rsidRDefault="00C50283">
      <w:pPr>
        <w:pStyle w:val="BodyText"/>
        <w:spacing w:before="5"/>
        <w:rPr>
          <w:sz w:val="26"/>
        </w:rPr>
      </w:pPr>
    </w:p>
    <w:p w14:paraId="334396F4" w14:textId="77777777" w:rsidR="00C50283" w:rsidRDefault="002F1A4A">
      <w:pPr>
        <w:pStyle w:val="BodyText"/>
        <w:ind w:left="110"/>
      </w:pPr>
      <w:r>
        <w:rPr>
          <w:w w:val="105"/>
        </w:rPr>
        <w:t>All crosswalks require pre-closing USSGL account balances.</w:t>
      </w:r>
    </w:p>
    <w:p w14:paraId="4302D872" w14:textId="77777777" w:rsidR="00C50283" w:rsidRDefault="00C50283">
      <w:pPr>
        <w:pStyle w:val="BodyText"/>
        <w:spacing w:before="10"/>
        <w:rPr>
          <w:sz w:val="31"/>
        </w:rPr>
      </w:pPr>
    </w:p>
    <w:p w14:paraId="5F366408" w14:textId="77777777" w:rsidR="00C50283" w:rsidRDefault="002F1A4A">
      <w:pPr>
        <w:pStyle w:val="BodyText"/>
        <w:spacing w:line="312" w:lineRule="auto"/>
        <w:ind w:left="110" w:right="935"/>
      </w:pPr>
      <w:r>
        <w:rPr>
          <w:w w:val="105"/>
        </w:rPr>
        <w:t>The following are crosswalks from the USSGL Chart of Accounts to standard external reports required by OMB and Fiscal Service:</w:t>
      </w:r>
    </w:p>
    <w:p w14:paraId="44A85FD9" w14:textId="77777777" w:rsidR="00C50283" w:rsidRDefault="00C50283">
      <w:pPr>
        <w:pStyle w:val="BodyText"/>
        <w:spacing w:before="9"/>
        <w:rPr>
          <w:sz w:val="24"/>
        </w:rPr>
      </w:pPr>
    </w:p>
    <w:tbl>
      <w:tblPr>
        <w:tblW w:w="0" w:type="auto"/>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left w:w="0" w:type="dxa"/>
          <w:right w:w="0" w:type="dxa"/>
        </w:tblCellMar>
        <w:tblLook w:val="01E0" w:firstRow="1" w:lastRow="1" w:firstColumn="1" w:lastColumn="1" w:noHBand="0" w:noVBand="0"/>
      </w:tblPr>
      <w:tblGrid>
        <w:gridCol w:w="5910"/>
        <w:gridCol w:w="3555"/>
      </w:tblGrid>
      <w:tr w:rsidR="00C50283" w14:paraId="42E594E6" w14:textId="77777777">
        <w:trPr>
          <w:trHeight w:val="315"/>
        </w:trPr>
        <w:tc>
          <w:tcPr>
            <w:tcW w:w="5910" w:type="dxa"/>
          </w:tcPr>
          <w:p w14:paraId="0A71D29D" w14:textId="77777777" w:rsidR="00C50283" w:rsidRDefault="002F1A4A">
            <w:pPr>
              <w:pStyle w:val="TableParagraph"/>
              <w:spacing w:before="15"/>
              <w:ind w:left="2378" w:right="2368"/>
              <w:jc w:val="center"/>
              <w:rPr>
                <w:b/>
                <w:sz w:val="24"/>
              </w:rPr>
            </w:pPr>
            <w:r>
              <w:rPr>
                <w:b/>
                <w:sz w:val="24"/>
              </w:rPr>
              <w:t>Section V</w:t>
            </w:r>
          </w:p>
        </w:tc>
        <w:tc>
          <w:tcPr>
            <w:tcW w:w="3555" w:type="dxa"/>
            <w:tcBorders>
              <w:right w:val="single" w:sz="12" w:space="0" w:color="818181"/>
            </w:tcBorders>
          </w:tcPr>
          <w:p w14:paraId="4BA98F26" w14:textId="77777777" w:rsidR="00C50283" w:rsidRDefault="002F1A4A">
            <w:pPr>
              <w:pStyle w:val="TableParagraph"/>
              <w:spacing w:before="15"/>
              <w:ind w:left="990"/>
              <w:rPr>
                <w:b/>
                <w:sz w:val="24"/>
              </w:rPr>
            </w:pPr>
            <w:r>
              <w:rPr>
                <w:b/>
                <w:sz w:val="24"/>
              </w:rPr>
              <w:t>Page Number</w:t>
            </w:r>
          </w:p>
        </w:tc>
      </w:tr>
      <w:tr w:rsidR="00C50283" w14:paraId="6121A931" w14:textId="77777777">
        <w:trPr>
          <w:trHeight w:val="315"/>
        </w:trPr>
        <w:tc>
          <w:tcPr>
            <w:tcW w:w="5910" w:type="dxa"/>
          </w:tcPr>
          <w:p w14:paraId="7C8E0B33" w14:textId="77777777" w:rsidR="00C50283" w:rsidRDefault="002F1A4A">
            <w:pPr>
              <w:pStyle w:val="TableParagraph"/>
              <w:rPr>
                <w:sz w:val="24"/>
              </w:rPr>
            </w:pPr>
            <w:r>
              <w:rPr>
                <w:sz w:val="24"/>
              </w:rPr>
              <w:t>Balance Sheet (BS)</w:t>
            </w:r>
          </w:p>
        </w:tc>
        <w:tc>
          <w:tcPr>
            <w:tcW w:w="3555" w:type="dxa"/>
            <w:tcBorders>
              <w:right w:val="single" w:sz="12" w:space="0" w:color="818181"/>
            </w:tcBorders>
          </w:tcPr>
          <w:p w14:paraId="7050A6F3" w14:textId="77777777" w:rsidR="00C50283" w:rsidRDefault="002F1A4A">
            <w:pPr>
              <w:pStyle w:val="TableParagraph"/>
              <w:rPr>
                <w:sz w:val="24"/>
              </w:rPr>
            </w:pPr>
            <w:r>
              <w:rPr>
                <w:sz w:val="24"/>
              </w:rPr>
              <w:t>V BS - 1</w:t>
            </w:r>
          </w:p>
        </w:tc>
      </w:tr>
      <w:tr w:rsidR="00C50283" w14:paraId="32CD6E88" w14:textId="77777777">
        <w:trPr>
          <w:trHeight w:val="315"/>
        </w:trPr>
        <w:tc>
          <w:tcPr>
            <w:tcW w:w="5910" w:type="dxa"/>
          </w:tcPr>
          <w:p w14:paraId="6364B2D0" w14:textId="77777777" w:rsidR="00C50283" w:rsidRDefault="002F1A4A">
            <w:pPr>
              <w:pStyle w:val="TableParagraph"/>
              <w:rPr>
                <w:sz w:val="24"/>
              </w:rPr>
            </w:pPr>
            <w:r>
              <w:rPr>
                <w:sz w:val="24"/>
              </w:rPr>
              <w:t>Statement of Net Cost (SNC)</w:t>
            </w:r>
          </w:p>
        </w:tc>
        <w:tc>
          <w:tcPr>
            <w:tcW w:w="3555" w:type="dxa"/>
            <w:tcBorders>
              <w:right w:val="single" w:sz="12" w:space="0" w:color="818181"/>
            </w:tcBorders>
          </w:tcPr>
          <w:p w14:paraId="292CB2A0" w14:textId="77777777" w:rsidR="00C50283" w:rsidRDefault="002F1A4A">
            <w:pPr>
              <w:pStyle w:val="TableParagraph"/>
              <w:rPr>
                <w:sz w:val="24"/>
              </w:rPr>
            </w:pPr>
            <w:r>
              <w:rPr>
                <w:sz w:val="24"/>
              </w:rPr>
              <w:t>V SNC - 1</w:t>
            </w:r>
          </w:p>
        </w:tc>
      </w:tr>
      <w:tr w:rsidR="00C50283" w14:paraId="1DC61FA8" w14:textId="77777777">
        <w:trPr>
          <w:trHeight w:val="315"/>
        </w:trPr>
        <w:tc>
          <w:tcPr>
            <w:tcW w:w="5910" w:type="dxa"/>
          </w:tcPr>
          <w:p w14:paraId="0E16190C" w14:textId="77777777" w:rsidR="00C50283" w:rsidRDefault="002F1A4A">
            <w:pPr>
              <w:pStyle w:val="TableParagraph"/>
              <w:rPr>
                <w:sz w:val="24"/>
              </w:rPr>
            </w:pPr>
            <w:r>
              <w:rPr>
                <w:sz w:val="24"/>
              </w:rPr>
              <w:t>Statement of Changes in Net Position (SCNP)</w:t>
            </w:r>
          </w:p>
        </w:tc>
        <w:tc>
          <w:tcPr>
            <w:tcW w:w="3555" w:type="dxa"/>
            <w:tcBorders>
              <w:right w:val="single" w:sz="12" w:space="0" w:color="818181"/>
            </w:tcBorders>
          </w:tcPr>
          <w:p w14:paraId="00CB9956" w14:textId="77777777" w:rsidR="00C50283" w:rsidRDefault="002F1A4A">
            <w:pPr>
              <w:pStyle w:val="TableParagraph"/>
              <w:rPr>
                <w:sz w:val="24"/>
              </w:rPr>
            </w:pPr>
            <w:r>
              <w:rPr>
                <w:sz w:val="24"/>
              </w:rPr>
              <w:t>V SCNP - 1</w:t>
            </w:r>
          </w:p>
        </w:tc>
      </w:tr>
      <w:tr w:rsidR="00C50283" w14:paraId="5496A1A9" w14:textId="77777777">
        <w:trPr>
          <w:trHeight w:val="315"/>
        </w:trPr>
        <w:tc>
          <w:tcPr>
            <w:tcW w:w="5910" w:type="dxa"/>
          </w:tcPr>
          <w:p w14:paraId="54B93856" w14:textId="77777777" w:rsidR="00C50283" w:rsidRDefault="002F1A4A">
            <w:pPr>
              <w:pStyle w:val="TableParagraph"/>
              <w:rPr>
                <w:sz w:val="24"/>
              </w:rPr>
            </w:pPr>
            <w:r>
              <w:rPr>
                <w:sz w:val="24"/>
              </w:rPr>
              <w:t>Statement of Custodial Activity (SCA)</w:t>
            </w:r>
          </w:p>
        </w:tc>
        <w:tc>
          <w:tcPr>
            <w:tcW w:w="3555" w:type="dxa"/>
            <w:tcBorders>
              <w:right w:val="single" w:sz="12" w:space="0" w:color="818181"/>
            </w:tcBorders>
          </w:tcPr>
          <w:p w14:paraId="60B32B72" w14:textId="77777777" w:rsidR="00C50283" w:rsidRDefault="002F1A4A">
            <w:pPr>
              <w:pStyle w:val="TableParagraph"/>
              <w:rPr>
                <w:sz w:val="24"/>
              </w:rPr>
            </w:pPr>
            <w:r>
              <w:rPr>
                <w:sz w:val="24"/>
              </w:rPr>
              <w:t>V SCA - 1</w:t>
            </w:r>
          </w:p>
        </w:tc>
      </w:tr>
      <w:tr w:rsidR="00C50283" w14:paraId="3E08EF63" w14:textId="77777777">
        <w:trPr>
          <w:trHeight w:val="315"/>
        </w:trPr>
        <w:tc>
          <w:tcPr>
            <w:tcW w:w="5910" w:type="dxa"/>
          </w:tcPr>
          <w:p w14:paraId="31C4A3CA" w14:textId="77777777" w:rsidR="00C50283" w:rsidRDefault="002F1A4A">
            <w:pPr>
              <w:pStyle w:val="TableParagraph"/>
              <w:rPr>
                <w:sz w:val="24"/>
              </w:rPr>
            </w:pPr>
            <w:r>
              <w:rPr>
                <w:sz w:val="24"/>
              </w:rPr>
              <w:t>Statement of Budgetary Resources (SBR)</w:t>
            </w:r>
          </w:p>
        </w:tc>
        <w:tc>
          <w:tcPr>
            <w:tcW w:w="3555" w:type="dxa"/>
            <w:tcBorders>
              <w:right w:val="single" w:sz="12" w:space="0" w:color="818181"/>
            </w:tcBorders>
          </w:tcPr>
          <w:p w14:paraId="5FCC5C97" w14:textId="77777777" w:rsidR="00C50283" w:rsidRDefault="002F1A4A">
            <w:pPr>
              <w:pStyle w:val="TableParagraph"/>
              <w:rPr>
                <w:sz w:val="24"/>
              </w:rPr>
            </w:pPr>
            <w:r>
              <w:rPr>
                <w:sz w:val="24"/>
              </w:rPr>
              <w:t>V SBR - 1</w:t>
            </w:r>
          </w:p>
        </w:tc>
      </w:tr>
      <w:tr w:rsidR="00C50283" w14:paraId="7BDF24AB" w14:textId="77777777">
        <w:trPr>
          <w:trHeight w:val="885"/>
        </w:trPr>
        <w:tc>
          <w:tcPr>
            <w:tcW w:w="5910" w:type="dxa"/>
            <w:tcBorders>
              <w:bottom w:val="single" w:sz="12" w:space="0" w:color="818181"/>
            </w:tcBorders>
          </w:tcPr>
          <w:p w14:paraId="77D47D55" w14:textId="77777777" w:rsidR="00C50283" w:rsidRDefault="002F1A4A">
            <w:pPr>
              <w:pStyle w:val="TableParagraph"/>
              <w:spacing w:before="10" w:line="280" w:lineRule="atLeast"/>
              <w:ind w:right="159"/>
              <w:rPr>
                <w:sz w:val="24"/>
              </w:rPr>
            </w:pPr>
            <w:r>
              <w:rPr>
                <w:sz w:val="24"/>
              </w:rPr>
              <w:t>SF 133 and Schedule P: Report on Budget Execution and Budgetary Resources and Budget Program and Financing Schedule</w:t>
            </w:r>
          </w:p>
        </w:tc>
        <w:tc>
          <w:tcPr>
            <w:tcW w:w="3555" w:type="dxa"/>
            <w:tcBorders>
              <w:bottom w:val="single" w:sz="12" w:space="0" w:color="818181"/>
              <w:right w:val="single" w:sz="12" w:space="0" w:color="818181"/>
            </w:tcBorders>
          </w:tcPr>
          <w:p w14:paraId="2DD913F3" w14:textId="77777777" w:rsidR="00C50283" w:rsidRDefault="002F1A4A">
            <w:pPr>
              <w:pStyle w:val="TableParagraph"/>
              <w:rPr>
                <w:sz w:val="24"/>
              </w:rPr>
            </w:pPr>
            <w:r>
              <w:rPr>
                <w:sz w:val="24"/>
              </w:rPr>
              <w:t>V SF 133/Sch P - 1</w:t>
            </w:r>
          </w:p>
        </w:tc>
      </w:tr>
    </w:tbl>
    <w:p w14:paraId="3A8EBAB1" w14:textId="77777777" w:rsidR="00C50283" w:rsidRDefault="00C50283">
      <w:pPr>
        <w:pStyle w:val="BodyText"/>
        <w:rPr>
          <w:sz w:val="22"/>
        </w:rPr>
      </w:pPr>
    </w:p>
    <w:p w14:paraId="109CFAD6" w14:textId="77777777" w:rsidR="00C50283" w:rsidRDefault="00C50283">
      <w:pPr>
        <w:pStyle w:val="BodyText"/>
        <w:rPr>
          <w:sz w:val="22"/>
        </w:rPr>
      </w:pPr>
    </w:p>
    <w:p w14:paraId="714F91BF" w14:textId="77777777" w:rsidR="00C50283" w:rsidRDefault="00C50283">
      <w:pPr>
        <w:pStyle w:val="BodyText"/>
        <w:rPr>
          <w:sz w:val="22"/>
        </w:rPr>
      </w:pPr>
    </w:p>
    <w:p w14:paraId="14973A76" w14:textId="77777777" w:rsidR="00C50283" w:rsidRDefault="00C50283">
      <w:pPr>
        <w:pStyle w:val="BodyText"/>
        <w:rPr>
          <w:sz w:val="22"/>
        </w:rPr>
      </w:pPr>
    </w:p>
    <w:p w14:paraId="08AA6DE7" w14:textId="77777777" w:rsidR="00C50283" w:rsidRDefault="00C50283">
      <w:pPr>
        <w:pStyle w:val="BodyText"/>
        <w:rPr>
          <w:sz w:val="22"/>
        </w:rPr>
      </w:pPr>
    </w:p>
    <w:p w14:paraId="0D46F0C4" w14:textId="77777777" w:rsidR="00C50283" w:rsidRDefault="00C50283">
      <w:pPr>
        <w:pStyle w:val="BodyText"/>
        <w:rPr>
          <w:sz w:val="22"/>
        </w:rPr>
      </w:pPr>
    </w:p>
    <w:p w14:paraId="758F4B5E" w14:textId="77777777" w:rsidR="00C50283" w:rsidRDefault="00C50283">
      <w:pPr>
        <w:pStyle w:val="BodyText"/>
        <w:rPr>
          <w:sz w:val="22"/>
        </w:rPr>
      </w:pPr>
    </w:p>
    <w:p w14:paraId="154B4FE2" w14:textId="77777777" w:rsidR="00C50283" w:rsidRDefault="00C50283">
      <w:pPr>
        <w:pStyle w:val="BodyText"/>
        <w:rPr>
          <w:sz w:val="22"/>
        </w:rPr>
      </w:pPr>
    </w:p>
    <w:p w14:paraId="054458F6" w14:textId="77777777" w:rsidR="00C50283" w:rsidRDefault="00C50283">
      <w:pPr>
        <w:pStyle w:val="BodyText"/>
        <w:rPr>
          <w:sz w:val="22"/>
        </w:rPr>
      </w:pPr>
    </w:p>
    <w:p w14:paraId="2A159043" w14:textId="77777777" w:rsidR="00C50283" w:rsidRDefault="00C50283">
      <w:pPr>
        <w:pStyle w:val="BodyText"/>
        <w:rPr>
          <w:sz w:val="22"/>
        </w:rPr>
      </w:pPr>
    </w:p>
    <w:p w14:paraId="184C2B57" w14:textId="77777777" w:rsidR="00C50283" w:rsidRDefault="00C50283">
      <w:pPr>
        <w:pStyle w:val="BodyText"/>
        <w:rPr>
          <w:sz w:val="22"/>
        </w:rPr>
      </w:pPr>
    </w:p>
    <w:p w14:paraId="3D2769A5" w14:textId="77777777" w:rsidR="00C50283" w:rsidRDefault="00C50283">
      <w:pPr>
        <w:pStyle w:val="BodyText"/>
        <w:rPr>
          <w:sz w:val="22"/>
        </w:rPr>
      </w:pPr>
    </w:p>
    <w:p w14:paraId="2C0CABE5" w14:textId="77777777" w:rsidR="00C50283" w:rsidRDefault="00C50283">
      <w:pPr>
        <w:pStyle w:val="BodyText"/>
        <w:rPr>
          <w:sz w:val="22"/>
        </w:rPr>
      </w:pPr>
    </w:p>
    <w:p w14:paraId="7D2B3892" w14:textId="77777777" w:rsidR="00C50283" w:rsidRDefault="00C50283">
      <w:pPr>
        <w:pStyle w:val="BodyText"/>
        <w:rPr>
          <w:sz w:val="22"/>
        </w:rPr>
      </w:pPr>
    </w:p>
    <w:p w14:paraId="7E2624B5" w14:textId="77777777" w:rsidR="00C50283" w:rsidRDefault="00C50283">
      <w:pPr>
        <w:pStyle w:val="BodyText"/>
        <w:rPr>
          <w:sz w:val="22"/>
        </w:rPr>
      </w:pPr>
    </w:p>
    <w:p w14:paraId="185B34B5" w14:textId="77777777" w:rsidR="00C50283" w:rsidRDefault="00C50283">
      <w:pPr>
        <w:pStyle w:val="BodyText"/>
        <w:spacing w:before="7"/>
      </w:pPr>
    </w:p>
    <w:p w14:paraId="7E01CE74" w14:textId="77777777" w:rsidR="00C50283" w:rsidRDefault="002F1A4A">
      <w:pPr>
        <w:ind w:right="119"/>
        <w:jc w:val="right"/>
        <w:rPr>
          <w:rFonts w:ascii="Palatino Linotype"/>
          <w:sz w:val="24"/>
        </w:rPr>
      </w:pPr>
      <w:r>
        <w:rPr>
          <w:rFonts w:ascii="Palatino Linotype"/>
          <w:sz w:val="24"/>
        </w:rPr>
        <w:t>Page 1 of 1</w:t>
      </w:r>
    </w:p>
    <w:sectPr w:rsidR="00C50283">
      <w:type w:val="continuous"/>
      <w:pgSz w:w="12240" w:h="15840"/>
      <w:pgMar w:top="620" w:right="60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83"/>
    <w:rsid w:val="002D6E93"/>
    <w:rsid w:val="002F1A4A"/>
    <w:rsid w:val="00C5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6F68"/>
  <w15:docId w15:val="{96EA480A-0A38-46BB-9D87-6A66DCD3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ind w:left="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 Cover Page</dc:title>
  <dc:creator>Kyle B. Moore</dc:creator>
  <cp:lastModifiedBy>Kyle B. Moore</cp:lastModifiedBy>
  <cp:revision>2</cp:revision>
  <dcterms:created xsi:type="dcterms:W3CDTF">2021-04-19T12:20:00Z</dcterms:created>
  <dcterms:modified xsi:type="dcterms:W3CDTF">2021-04-19T12:20:00Z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2020-05-13T00:00:00Z</vt:filetime>
  </property>
</Properties>
</file>